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65" w:rsidRPr="00A92B65" w:rsidRDefault="00A92B65" w:rsidP="00A92B65">
      <w:pPr>
        <w:spacing w:line="600" w:lineRule="exact"/>
        <w:contextualSpacing/>
        <w:rPr>
          <w:rFonts w:ascii="方正小标宋简体" w:eastAsia="方正小标宋简体" w:hAnsi="宋体" w:cs="Times New Roman" w:hint="eastAsia"/>
          <w:bCs/>
          <w:sz w:val="32"/>
          <w:szCs w:val="32"/>
        </w:rPr>
      </w:pPr>
      <w:r w:rsidRPr="00A92B65">
        <w:rPr>
          <w:rFonts w:ascii="黑体" w:eastAsia="黑体" w:hAnsi="宋体" w:cs="Times New Roman" w:hint="eastAsia"/>
          <w:sz w:val="32"/>
          <w:szCs w:val="32"/>
        </w:rPr>
        <w:t>附件</w:t>
      </w:r>
    </w:p>
    <w:p w:rsidR="00A92B65" w:rsidRPr="00A92B65" w:rsidRDefault="00A92B65" w:rsidP="00A92B65">
      <w:pPr>
        <w:widowControl/>
        <w:shd w:val="clear" w:color="auto" w:fill="FFFFFF"/>
        <w:adjustRightInd w:val="0"/>
        <w:snapToGrid w:val="0"/>
        <w:spacing w:line="600" w:lineRule="exact"/>
        <w:ind w:firstLineChars="100" w:firstLine="457"/>
        <w:jc w:val="center"/>
        <w:rPr>
          <w:rFonts w:ascii="方正小标宋简体" w:eastAsia="方正小标宋简体" w:hAnsi="仿宋" w:cs="Times New Roman" w:hint="eastAsia"/>
          <w:kern w:val="0"/>
          <w:sz w:val="44"/>
          <w:szCs w:val="44"/>
        </w:rPr>
      </w:pPr>
    </w:p>
    <w:p w:rsidR="00A92B65" w:rsidRPr="00A92B65" w:rsidRDefault="00A92B65" w:rsidP="00A92B65">
      <w:pPr>
        <w:widowControl/>
        <w:shd w:val="clear" w:color="auto" w:fill="FFFFFF"/>
        <w:adjustRightInd w:val="0"/>
        <w:snapToGrid w:val="0"/>
        <w:spacing w:line="600" w:lineRule="exact"/>
        <w:ind w:firstLineChars="100" w:firstLine="469"/>
        <w:jc w:val="center"/>
        <w:rPr>
          <w:rFonts w:ascii="方正小标宋简体" w:eastAsia="方正小标宋简体" w:hAnsi="仿宋" w:cs="Times New Roman" w:hint="eastAsia"/>
          <w:spacing w:val="6"/>
          <w:kern w:val="0"/>
          <w:sz w:val="44"/>
          <w:szCs w:val="44"/>
        </w:rPr>
      </w:pPr>
      <w:r w:rsidRPr="00A92B65">
        <w:rPr>
          <w:rFonts w:ascii="方正小标宋简体" w:eastAsia="方正小标宋简体" w:hAnsi="仿宋" w:cs="Times New Roman" w:hint="eastAsia"/>
          <w:spacing w:val="6"/>
          <w:kern w:val="0"/>
          <w:sz w:val="44"/>
          <w:szCs w:val="44"/>
        </w:rPr>
        <w:t>2020年度全市县处级</w:t>
      </w:r>
    </w:p>
    <w:p w:rsidR="00A92B65" w:rsidRPr="00A92B65" w:rsidRDefault="00A92B65" w:rsidP="00A92B65">
      <w:pPr>
        <w:widowControl/>
        <w:shd w:val="clear" w:color="auto" w:fill="FFFFFF"/>
        <w:adjustRightInd w:val="0"/>
        <w:snapToGrid w:val="0"/>
        <w:spacing w:line="600" w:lineRule="exact"/>
        <w:ind w:firstLineChars="100" w:firstLine="445"/>
        <w:jc w:val="center"/>
        <w:rPr>
          <w:rFonts w:ascii="方正小标宋简体" w:eastAsia="方正小标宋简体" w:hAnsi="仿宋" w:cs="Times New Roman" w:hint="eastAsia"/>
          <w:spacing w:val="-6"/>
          <w:kern w:val="0"/>
          <w:sz w:val="44"/>
          <w:szCs w:val="44"/>
        </w:rPr>
      </w:pPr>
      <w:r w:rsidRPr="00A92B65">
        <w:rPr>
          <w:rFonts w:ascii="方正小标宋简体" w:eastAsia="方正小标宋简体" w:hAnsi="仿宋" w:cs="Times New Roman" w:hint="eastAsia"/>
          <w:spacing w:val="-6"/>
          <w:kern w:val="0"/>
          <w:sz w:val="44"/>
          <w:szCs w:val="44"/>
        </w:rPr>
        <w:t>党委（党组）理论学习中心组和理论工作者</w:t>
      </w:r>
    </w:p>
    <w:p w:rsidR="00A92B65" w:rsidRPr="00A92B65" w:rsidRDefault="00A92B65" w:rsidP="00A92B65">
      <w:pPr>
        <w:widowControl/>
        <w:shd w:val="clear" w:color="auto" w:fill="FFFFFF"/>
        <w:adjustRightInd w:val="0"/>
        <w:snapToGrid w:val="0"/>
        <w:spacing w:line="600" w:lineRule="exact"/>
        <w:ind w:firstLineChars="100" w:firstLine="445"/>
        <w:jc w:val="center"/>
        <w:rPr>
          <w:rFonts w:ascii="方正小标宋简体" w:eastAsia="方正小标宋简体" w:hAnsi="仿宋_GB2312" w:cs="仿宋_GB2312" w:hint="eastAsia"/>
          <w:spacing w:val="-6"/>
          <w:kern w:val="0"/>
          <w:sz w:val="44"/>
          <w:szCs w:val="44"/>
          <w:shd w:val="clear" w:color="auto" w:fill="FFFFFF"/>
        </w:rPr>
      </w:pPr>
      <w:r w:rsidRPr="00A92B65">
        <w:rPr>
          <w:rFonts w:ascii="方正小标宋简体" w:eastAsia="方正小标宋简体" w:hAnsi="仿宋" w:cs="Times New Roman" w:hint="eastAsia"/>
          <w:spacing w:val="-6"/>
          <w:kern w:val="0"/>
          <w:sz w:val="44"/>
          <w:szCs w:val="44"/>
        </w:rPr>
        <w:t>优秀调研报告、理论文章选题参考</w:t>
      </w:r>
    </w:p>
    <w:p w:rsidR="00A92B65" w:rsidRPr="00A92B65" w:rsidRDefault="00A92B65" w:rsidP="00A92B65">
      <w:pPr>
        <w:spacing w:line="600" w:lineRule="exact"/>
        <w:contextualSpacing/>
        <w:rPr>
          <w:rFonts w:ascii="仿宋_GB2312" w:eastAsia="仿宋_GB2312" w:hAnsi="黑体" w:cs="Times New Roman"/>
          <w:sz w:val="32"/>
          <w:szCs w:val="32"/>
        </w:rPr>
      </w:pPr>
    </w:p>
    <w:p w:rsidR="00A92B65" w:rsidRPr="00A92B65" w:rsidRDefault="00A92B65" w:rsidP="00A92B65">
      <w:pPr>
        <w:adjustRightInd w:val="0"/>
        <w:snapToGrid w:val="0"/>
        <w:spacing w:line="600" w:lineRule="exact"/>
        <w:ind w:firstLineChars="99" w:firstLine="333"/>
        <w:contextualSpacing/>
        <w:rPr>
          <w:rFonts w:ascii="黑体" w:eastAsia="黑体" w:hAnsi="黑体" w:cs="黑体" w:hint="eastAsia"/>
          <w:sz w:val="32"/>
          <w:szCs w:val="32"/>
        </w:rPr>
      </w:pPr>
      <w:bookmarkStart w:id="0" w:name="_GoBack"/>
      <w:bookmarkEnd w:id="0"/>
      <w:r w:rsidRPr="00A92B65">
        <w:rPr>
          <w:rFonts w:ascii="黑体" w:eastAsia="黑体" w:hAnsi="黑体" w:cs="黑体" w:hint="eastAsia"/>
          <w:sz w:val="32"/>
          <w:szCs w:val="32"/>
        </w:rPr>
        <w:t>一、经济社会发展</w:t>
      </w:r>
    </w:p>
    <w:p w:rsidR="00A92B65" w:rsidRPr="00A92B65" w:rsidRDefault="00A92B65" w:rsidP="00A92B65">
      <w:pPr>
        <w:adjustRightInd w:val="0"/>
        <w:snapToGrid w:val="0"/>
        <w:spacing w:line="600" w:lineRule="exact"/>
        <w:ind w:firstLineChars="98" w:firstLine="330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1.贯彻新发展理念推动驻马店经济高质量发展问题研究</w:t>
      </w:r>
    </w:p>
    <w:p w:rsidR="00A92B65" w:rsidRPr="00A92B65" w:rsidRDefault="00A92B65" w:rsidP="00A92B65">
      <w:pPr>
        <w:adjustRightInd w:val="0"/>
        <w:snapToGrid w:val="0"/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2.驻马店实施乡村振兴战略问题研究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3.制约我市创新发展的突出瓶颈问题研究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4.新时代县域治理与城乡统筹发展问题研究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5.提升驻马店县域经济综合实力的路径与对策研究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6.开放经济下的市场化改革与资源要素配置效率问题研究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7.我市打好打赢三大攻坚战问题研究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8.“十四五”提升驻马店制造业高质量发展水平研究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9.产业布局调整大背景下驻马店产业转型升级研究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10.深化农业农村改革，推进农业农村现代化问题研究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11.驻马店市“十四五”时期经济社会发展思路研究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12.驻马店市产业发展研究</w:t>
      </w:r>
    </w:p>
    <w:p w:rsidR="00A92B65" w:rsidRPr="00A92B65" w:rsidRDefault="00A92B65" w:rsidP="00A92B65">
      <w:pPr>
        <w:spacing w:line="600" w:lineRule="exact"/>
        <w:ind w:leftChars="148" w:left="663" w:hangingChars="97" w:hanging="32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13.</w:t>
      </w:r>
      <w:r w:rsidRPr="00A92B65">
        <w:rPr>
          <w:rFonts w:ascii="仿宋_GB2312" w:eastAsia="仿宋_GB2312" w:hAnsi="Times New Roman" w:cs="Times New Roman" w:hint="eastAsia"/>
          <w:spacing w:val="-12"/>
          <w:sz w:val="32"/>
          <w:szCs w:val="32"/>
        </w:rPr>
        <w:t>加快推动中国(驻马店)国际农产品加工产业园的策略研究</w:t>
      </w:r>
    </w:p>
    <w:p w:rsidR="00A92B65" w:rsidRPr="00A92B65" w:rsidRDefault="00A92B65" w:rsidP="00A92B65">
      <w:pPr>
        <w:widowControl/>
        <w:spacing w:line="600" w:lineRule="exact"/>
        <w:ind w:firstLineChars="99" w:firstLine="333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A92B65">
        <w:rPr>
          <w:rFonts w:ascii="仿宋_GB2312" w:eastAsia="仿宋_GB2312" w:hAnsi="宋体" w:cs="宋体" w:hint="eastAsia"/>
          <w:kern w:val="0"/>
          <w:sz w:val="32"/>
          <w:szCs w:val="32"/>
        </w:rPr>
        <w:t>14.驻马店推进中小企业创新发展的对策建议</w:t>
      </w:r>
    </w:p>
    <w:p w:rsidR="00A92B65" w:rsidRPr="00A92B65" w:rsidRDefault="00A92B65" w:rsidP="00A92B65">
      <w:pPr>
        <w:widowControl/>
        <w:spacing w:line="600" w:lineRule="exact"/>
        <w:ind w:firstLineChars="98" w:firstLine="33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A92B65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15.加快驻马店现代服务业结构优化的对策建议</w:t>
      </w:r>
    </w:p>
    <w:p w:rsidR="00A92B65" w:rsidRPr="00A92B65" w:rsidRDefault="00A92B65" w:rsidP="00A92B65">
      <w:pPr>
        <w:widowControl/>
        <w:spacing w:line="600" w:lineRule="exact"/>
        <w:ind w:firstLineChars="99" w:firstLine="333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A92B65">
        <w:rPr>
          <w:rFonts w:ascii="仿宋_GB2312" w:eastAsia="仿宋_GB2312" w:hAnsi="宋体" w:cs="宋体" w:hint="eastAsia"/>
          <w:kern w:val="0"/>
          <w:sz w:val="32"/>
          <w:szCs w:val="32"/>
        </w:rPr>
        <w:t>16.驻马店特色小镇建设现状及持续发展路径研究</w:t>
      </w:r>
    </w:p>
    <w:p w:rsidR="00A92B65" w:rsidRPr="00A92B65" w:rsidRDefault="00A92B65" w:rsidP="00A92B65">
      <w:pPr>
        <w:widowControl/>
        <w:spacing w:line="600" w:lineRule="exact"/>
        <w:ind w:firstLineChars="99" w:firstLine="333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A92B65">
        <w:rPr>
          <w:rFonts w:ascii="仿宋_GB2312" w:eastAsia="仿宋_GB2312" w:hAnsi="宋体" w:cs="宋体" w:hint="eastAsia"/>
          <w:kern w:val="0"/>
          <w:sz w:val="32"/>
          <w:szCs w:val="32"/>
        </w:rPr>
        <w:t>17.驻马店推进农村一二三产业融合发展的对策研究</w:t>
      </w:r>
    </w:p>
    <w:p w:rsidR="00A92B65" w:rsidRPr="00A92B65" w:rsidRDefault="00A92B65" w:rsidP="00A92B65">
      <w:pPr>
        <w:widowControl/>
        <w:spacing w:line="600" w:lineRule="exact"/>
        <w:ind w:firstLineChars="99" w:firstLine="333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A92B65">
        <w:rPr>
          <w:rFonts w:ascii="仿宋_GB2312" w:eastAsia="仿宋_GB2312" w:hAnsi="宋体" w:cs="宋体" w:hint="eastAsia"/>
          <w:kern w:val="0"/>
          <w:sz w:val="32"/>
          <w:szCs w:val="32"/>
        </w:rPr>
        <w:t>18.驻马店生态农业发展问题及对策研究</w:t>
      </w:r>
    </w:p>
    <w:p w:rsidR="00A92B65" w:rsidRPr="00A92B65" w:rsidRDefault="00A92B65" w:rsidP="00A92B65">
      <w:pPr>
        <w:spacing w:line="600" w:lineRule="exact"/>
        <w:ind w:firstLineChars="99" w:firstLine="333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19.驻马店精准扶贫的成效评估与长效机制研究</w:t>
      </w:r>
    </w:p>
    <w:p w:rsidR="00A92B65" w:rsidRPr="00A92B65" w:rsidRDefault="00A92B65" w:rsidP="00A92B65">
      <w:pPr>
        <w:spacing w:line="600" w:lineRule="exact"/>
        <w:ind w:firstLineChars="99" w:firstLine="333"/>
        <w:contextualSpacing/>
        <w:rPr>
          <w:rFonts w:ascii="仿宋_GB2312" w:eastAsia="仿宋_GB2312" w:hAnsi="仿宋_GB2312" w:cs="仿宋_GB2312" w:hint="eastAsia"/>
          <w:sz w:val="32"/>
          <w:szCs w:val="32"/>
        </w:rPr>
      </w:pPr>
      <w:r w:rsidRPr="00A92B65">
        <w:rPr>
          <w:rFonts w:ascii="仿宋_GB2312" w:eastAsia="仿宋_GB2312" w:hAnsi="仿宋_GB2312" w:cs="仿宋_GB2312" w:hint="eastAsia"/>
          <w:sz w:val="32"/>
          <w:szCs w:val="32"/>
        </w:rPr>
        <w:t>20.推进驻马店农产品加工业发展研究</w:t>
      </w:r>
    </w:p>
    <w:p w:rsidR="00A92B65" w:rsidRPr="00A92B65" w:rsidRDefault="00A92B65" w:rsidP="00A92B65">
      <w:pPr>
        <w:spacing w:line="600" w:lineRule="exact"/>
        <w:ind w:firstLineChars="99" w:firstLine="333"/>
        <w:contextualSpacing/>
        <w:rPr>
          <w:rFonts w:ascii="仿宋_GB2312" w:eastAsia="仿宋_GB2312" w:hAnsi="仿宋_GB2312" w:cs="仿宋_GB2312" w:hint="eastAsia"/>
          <w:sz w:val="32"/>
          <w:szCs w:val="32"/>
        </w:rPr>
      </w:pPr>
      <w:r w:rsidRPr="00A92B65">
        <w:rPr>
          <w:rFonts w:ascii="仿宋_GB2312" w:eastAsia="仿宋_GB2312" w:hAnsi="仿宋_GB2312" w:cs="仿宋_GB2312" w:hint="eastAsia"/>
          <w:sz w:val="32"/>
          <w:szCs w:val="32"/>
        </w:rPr>
        <w:t>21.推动驻马店市文化旅游业发展研究</w:t>
      </w:r>
    </w:p>
    <w:p w:rsidR="00A92B65" w:rsidRPr="00A92B65" w:rsidRDefault="00A92B65" w:rsidP="00A92B65">
      <w:pPr>
        <w:spacing w:line="600" w:lineRule="exact"/>
        <w:ind w:firstLineChars="99" w:firstLine="333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22.巩固全国文明城市创建成果研究</w:t>
      </w:r>
    </w:p>
    <w:p w:rsidR="00A92B65" w:rsidRPr="00A92B65" w:rsidRDefault="00A92B65" w:rsidP="00A92B65">
      <w:pPr>
        <w:spacing w:line="600" w:lineRule="exact"/>
        <w:ind w:firstLineChars="99" w:firstLine="333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23.促进驻马店国家健康城市创建研究</w:t>
      </w:r>
    </w:p>
    <w:p w:rsidR="00A92B65" w:rsidRPr="00A92B65" w:rsidRDefault="00A92B65" w:rsidP="00A92B65">
      <w:pPr>
        <w:spacing w:line="600" w:lineRule="exact"/>
        <w:ind w:firstLineChars="99" w:firstLine="333"/>
        <w:contextualSpacing/>
        <w:rPr>
          <w:rFonts w:ascii="仿宋_GB2312" w:eastAsia="仿宋_GB2312" w:hAnsi="仿宋_GB2312" w:cs="仿宋_GB2312" w:hint="eastAsia"/>
          <w:sz w:val="32"/>
          <w:szCs w:val="32"/>
        </w:rPr>
      </w:pPr>
      <w:r w:rsidRPr="00A92B65">
        <w:rPr>
          <w:rFonts w:ascii="仿宋_GB2312" w:eastAsia="仿宋_GB2312" w:hAnsi="仿宋_GB2312" w:cs="仿宋_GB2312" w:hint="eastAsia"/>
          <w:sz w:val="32"/>
          <w:szCs w:val="32"/>
        </w:rPr>
        <w:t>24.驻马店市打造一流营商环境对策研究</w:t>
      </w:r>
    </w:p>
    <w:p w:rsidR="00A92B65" w:rsidRPr="00A92B65" w:rsidRDefault="00A92B65" w:rsidP="00A92B65">
      <w:pPr>
        <w:spacing w:line="600" w:lineRule="exact"/>
        <w:ind w:firstLineChars="99" w:firstLine="333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_GB2312" w:cs="仿宋_GB2312" w:hint="eastAsia"/>
          <w:sz w:val="32"/>
          <w:szCs w:val="32"/>
        </w:rPr>
        <w:t>25</w:t>
      </w:r>
      <w:r w:rsidRPr="00A92B65">
        <w:rPr>
          <w:rFonts w:ascii="仿宋_GB2312" w:eastAsia="仿宋_GB2312" w:hAnsi="仿宋" w:cs="Times New Roman" w:hint="eastAsia"/>
          <w:sz w:val="32"/>
          <w:szCs w:val="32"/>
        </w:rPr>
        <w:t>.驻马店招商引资现状分析与对策研究</w:t>
      </w:r>
    </w:p>
    <w:p w:rsidR="00A92B65" w:rsidRPr="00A92B65" w:rsidRDefault="00A92B65" w:rsidP="00A92B65">
      <w:pPr>
        <w:spacing w:line="600" w:lineRule="exact"/>
        <w:ind w:firstLineChars="99" w:firstLine="333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_GB2312" w:cs="仿宋_GB2312" w:hint="eastAsia"/>
          <w:sz w:val="32"/>
          <w:szCs w:val="32"/>
        </w:rPr>
        <w:t>26</w:t>
      </w:r>
      <w:r w:rsidRPr="00A92B65">
        <w:rPr>
          <w:rFonts w:ascii="仿宋_GB2312" w:eastAsia="仿宋_GB2312" w:hAnsi="仿宋" w:cs="Times New Roman" w:hint="eastAsia"/>
          <w:sz w:val="32"/>
          <w:szCs w:val="32"/>
        </w:rPr>
        <w:t>.推动驻马店市战略新兴产业发展研究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27.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驻马店市持续打好</w:t>
      </w: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四张牌</w:t>
      </w: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效果评估与对策建议</w:t>
      </w:r>
    </w:p>
    <w:p w:rsidR="00A92B65" w:rsidRPr="00A92B65" w:rsidRDefault="00A92B65" w:rsidP="00A92B65">
      <w:pPr>
        <w:spacing w:line="600" w:lineRule="exact"/>
        <w:ind w:leftChars="148" w:left="336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28.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创新城乡融合发展体制机制研究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仿宋_GB2312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29.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驻马店破解制约创新发展的突出瓶颈问题研究</w:t>
      </w:r>
    </w:p>
    <w:p w:rsidR="00A92B65" w:rsidRPr="00A92B65" w:rsidRDefault="00A92B65" w:rsidP="00A92B65">
      <w:pPr>
        <w:spacing w:line="600" w:lineRule="exact"/>
        <w:ind w:leftChars="148" w:left="828" w:hangingChars="146" w:hanging="492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30.建立健全应对重大经济社会突发事件、保持经济社会发展健康可持续发展的长效机制</w:t>
      </w:r>
    </w:p>
    <w:p w:rsidR="00A92B65" w:rsidRPr="00A92B65" w:rsidRDefault="00A92B65" w:rsidP="00A92B65">
      <w:pPr>
        <w:spacing w:line="600" w:lineRule="exact"/>
        <w:ind w:firstLineChars="99" w:firstLine="333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31.推进健康驻马店建设研究</w:t>
      </w:r>
    </w:p>
    <w:p w:rsidR="00A92B65" w:rsidRPr="00A92B65" w:rsidRDefault="00A92B65" w:rsidP="00A92B65">
      <w:pPr>
        <w:spacing w:line="600" w:lineRule="exact"/>
        <w:ind w:leftChars="148" w:left="824" w:hangingChars="145" w:hanging="488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32.</w:t>
      </w:r>
      <w:r w:rsidRPr="00A92B65">
        <w:rPr>
          <w:rFonts w:ascii="仿宋_GB2312" w:eastAsia="仿宋_GB2312" w:hAnsi="Times New Roman" w:cs="Times New Roman" w:hint="eastAsia"/>
          <w:spacing w:val="-12"/>
          <w:sz w:val="32"/>
          <w:szCs w:val="32"/>
        </w:rPr>
        <w:t>全面依法治国视域下司法行政职能定位及作用发挥问题研究</w:t>
      </w:r>
    </w:p>
    <w:p w:rsidR="00A92B65" w:rsidRPr="00A92B65" w:rsidRDefault="00A92B65" w:rsidP="00A92B65">
      <w:pPr>
        <w:spacing w:line="600" w:lineRule="exact"/>
        <w:ind w:firstLineChars="98" w:firstLine="330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33.新时代城乡社区治理体系建设研究</w:t>
      </w:r>
    </w:p>
    <w:p w:rsidR="00A92B65" w:rsidRPr="00A92B65" w:rsidRDefault="00A92B65" w:rsidP="00A92B65">
      <w:pPr>
        <w:spacing w:line="600" w:lineRule="exact"/>
        <w:ind w:firstLineChars="98" w:firstLine="330"/>
        <w:contextualSpacing/>
        <w:rPr>
          <w:rFonts w:ascii="仿宋_GB2312" w:eastAsia="仿宋_GB2312" w:hAnsi="仿宋" w:cs="仿宋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 xml:space="preserve">34.新时代打造共建共治共享的社会治理研究 </w:t>
      </w:r>
    </w:p>
    <w:p w:rsidR="00A92B65" w:rsidRPr="00A92B65" w:rsidRDefault="00A92B65" w:rsidP="00A92B65">
      <w:pPr>
        <w:spacing w:line="600" w:lineRule="exact"/>
        <w:ind w:firstLineChars="149" w:firstLine="502"/>
        <w:rPr>
          <w:rFonts w:ascii="黑体" w:eastAsia="黑体" w:hAnsi="黑体" w:cs="Times New Roman" w:hint="eastAsia"/>
          <w:sz w:val="32"/>
          <w:szCs w:val="32"/>
        </w:rPr>
      </w:pPr>
      <w:r w:rsidRPr="00A92B65">
        <w:rPr>
          <w:rFonts w:ascii="黑体" w:eastAsia="黑体" w:hAnsi="黑体" w:cs="Times New Roman" w:hint="eastAsia"/>
          <w:sz w:val="32"/>
          <w:szCs w:val="32"/>
        </w:rPr>
        <w:lastRenderedPageBreak/>
        <w:t>二、宣传思想文化</w:t>
      </w:r>
    </w:p>
    <w:p w:rsidR="00A92B65" w:rsidRPr="00A92B65" w:rsidRDefault="00A92B65" w:rsidP="00A92B65">
      <w:pPr>
        <w:spacing w:line="600" w:lineRule="exact"/>
        <w:ind w:left="1" w:firstLineChars="99" w:firstLine="310"/>
        <w:rPr>
          <w:rFonts w:ascii="仿宋_GB2312" w:eastAsia="仿宋_GB2312" w:hAnsi="Times New Roman" w:cs="Times New Roman" w:hint="eastAsia"/>
          <w:spacing w:val="-12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pacing w:val="-12"/>
          <w:sz w:val="32"/>
          <w:szCs w:val="32"/>
        </w:rPr>
        <w:t>35.习近平新时代中国特色社会主义思想在驻马店的实践研究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36.</w:t>
      </w:r>
      <w:r w:rsidRPr="00A92B65">
        <w:rPr>
          <w:rFonts w:ascii="仿宋_GB2312" w:eastAsia="仿宋_GB2312" w:hAnsi="仿宋" w:cs="Times New Roman" w:hint="eastAsia"/>
          <w:sz w:val="32"/>
          <w:szCs w:val="32"/>
        </w:rPr>
        <w:t>加强和改进新时代意识形态工作研究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37.</w:t>
      </w: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坚持守正创新、推动驻马店宣传思想工作强起来研究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38.加强和改进党委（党组）理论学习中心组学习研究</w:t>
      </w:r>
    </w:p>
    <w:p w:rsidR="00A92B65" w:rsidRPr="00A92B65" w:rsidRDefault="00A92B65" w:rsidP="00A92B65">
      <w:pPr>
        <w:spacing w:line="600" w:lineRule="exact"/>
        <w:ind w:firstLineChars="100" w:firstLine="313"/>
        <w:contextualSpacing/>
        <w:rPr>
          <w:rFonts w:ascii="仿宋_GB2312" w:eastAsia="仿宋_GB2312" w:hAnsi="仿宋" w:cs="Times New Roman" w:hint="eastAsia"/>
          <w:spacing w:val="-12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pacing w:val="-12"/>
          <w:sz w:val="32"/>
          <w:szCs w:val="32"/>
        </w:rPr>
        <w:t>39.着力增强新形势下理论政策宣讲工作的针对性、实效性研究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40.社会主义核心价值观在群众中的认同和教育研究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pacing w:val="-12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41.</w:t>
      </w:r>
      <w:r w:rsidRPr="00A92B65">
        <w:rPr>
          <w:rFonts w:ascii="仿宋_GB2312" w:eastAsia="仿宋_GB2312" w:hAnsi="Times New Roman" w:cs="Times New Roman" w:hint="eastAsia"/>
          <w:spacing w:val="-12"/>
          <w:sz w:val="32"/>
          <w:szCs w:val="32"/>
        </w:rPr>
        <w:t>加强新时代文明实践中心志愿服务建设的理论与实践研究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42.加强县级融媒体中心移动端建设的对策和举措研究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43.挖掘利用我市文化资源加快文化事业文化产业发展研究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44.弘扬传承和发展驻马店红色文化研究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45.加大宣传引导提升驻马店形象研究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46.社会主义核心价值观凝聚社会共识研究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47.新时代思想政治教育创新发展研究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48.大众传媒与乡村振兴研究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49.新时代网络舆情的大数据使用与研究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50.新网络治理环境下政务新媒体受众参与机制研究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51.数字化时代农家书屋、城市书吧发展研究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52.健全国有文化资产监管体制机制研究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53.加强基层文化设施建设、管理和使用研究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黑体" w:eastAsia="黑体" w:hAnsi="黑体" w:cs="Times New Roman" w:hint="eastAsia"/>
          <w:sz w:val="32"/>
          <w:szCs w:val="32"/>
        </w:rPr>
      </w:pPr>
      <w:r w:rsidRPr="00A92B65">
        <w:rPr>
          <w:rFonts w:ascii="黑体" w:eastAsia="黑体" w:hAnsi="黑体" w:cs="Times New Roman" w:hint="eastAsia"/>
          <w:sz w:val="32"/>
          <w:szCs w:val="32"/>
        </w:rPr>
        <w:t>三、党的建设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54.提升社会基层治理能力研究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55.抓基层打基础推动党建高质量问题研究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 xml:space="preserve">56.新时代干部容错纠错的实证研究 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57.“两新”党组织增强组织生活政治性的实证研究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58.推进政治监督具体化常态化问题研究</w:t>
      </w:r>
    </w:p>
    <w:p w:rsidR="00A92B65" w:rsidRPr="00A92B65" w:rsidRDefault="00A92B65" w:rsidP="00A92B65">
      <w:pPr>
        <w:spacing w:line="600" w:lineRule="exact"/>
        <w:ind w:leftChars="148" w:left="831" w:hangingChars="147" w:hanging="495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59.构建纪律监督、监察监督、派驻监督、巡察监督统筹衔接工作机制问题研究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60.关于补齐乡镇纪检监察工作短板的对策研究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61.建立和落实不忘初心、牢记使命常态化制度研究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62.抓党建促决战决胜脱贫攻坚问题研究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63.党建引领基层治理问题研究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仿宋" w:hint="eastAsia"/>
          <w:spacing w:val="-12"/>
          <w:sz w:val="32"/>
          <w:szCs w:val="32"/>
        </w:rPr>
      </w:pPr>
      <w:r w:rsidRPr="00A92B65">
        <w:rPr>
          <w:rFonts w:ascii="仿宋_GB2312" w:eastAsia="仿宋_GB2312" w:hAnsi="仿宋" w:cs="仿宋" w:hint="eastAsia"/>
          <w:sz w:val="32"/>
          <w:szCs w:val="32"/>
        </w:rPr>
        <w:t>64.</w:t>
      </w:r>
      <w:r w:rsidRPr="00A92B65">
        <w:rPr>
          <w:rFonts w:ascii="仿宋_GB2312" w:eastAsia="仿宋_GB2312" w:hAnsi="仿宋" w:cs="仿宋" w:hint="eastAsia"/>
          <w:spacing w:val="-12"/>
          <w:sz w:val="32"/>
          <w:szCs w:val="32"/>
        </w:rPr>
        <w:t>建立完善工作机制鼓励党员干部新时代新担当新作为研究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仿宋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65.</w:t>
      </w:r>
      <w:r w:rsidRPr="00A92B65">
        <w:rPr>
          <w:rFonts w:ascii="仿宋_GB2312" w:eastAsia="仿宋_GB2312" w:hAnsi="仿宋" w:cs="仿宋" w:hint="eastAsia"/>
          <w:sz w:val="32"/>
          <w:szCs w:val="32"/>
        </w:rPr>
        <w:t>整治基层腐败问题  筑牢党的执政基础研究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仿宋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66.</w:t>
      </w:r>
      <w:r w:rsidRPr="00A92B65">
        <w:rPr>
          <w:rFonts w:ascii="仿宋_GB2312" w:eastAsia="仿宋_GB2312" w:hAnsi="仿宋" w:cs="仿宋" w:hint="eastAsia"/>
          <w:sz w:val="32"/>
          <w:szCs w:val="32"/>
        </w:rPr>
        <w:t>强化巡察成果运用做好巡察“后半篇文章”研究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_GB2312" w:cs="仿宋_GB2312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67.</w:t>
      </w: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突出党建引领强化驻马店乡村治理研究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68.发挥政治建设在机关党建工作中的统领作用研究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69.进一步发挥好纪检监察派驻机构重要作用研究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70.</w:t>
      </w:r>
      <w:r w:rsidRPr="00A92B65">
        <w:rPr>
          <w:rFonts w:ascii="仿宋_GB2312" w:eastAsia="仿宋_GB2312" w:hAnsi="仿宋" w:cs="Times New Roman" w:hint="eastAsia"/>
          <w:spacing w:val="-12"/>
          <w:sz w:val="32"/>
          <w:szCs w:val="32"/>
        </w:rPr>
        <w:t>加强驻马店群团组织建设激发群团组织和社会组织活力研究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黑体" w:eastAsia="黑体" w:hAnsi="黑体" w:cs="Times New Roman" w:hint="eastAsia"/>
          <w:sz w:val="32"/>
          <w:szCs w:val="32"/>
        </w:rPr>
      </w:pPr>
      <w:r w:rsidRPr="00A92B65">
        <w:rPr>
          <w:rFonts w:ascii="黑体" w:eastAsia="黑体" w:hAnsi="黑体" w:cs="Times New Roman" w:hint="eastAsia"/>
          <w:sz w:val="32"/>
          <w:szCs w:val="32"/>
        </w:rPr>
        <w:t>四、教育事业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仿宋_GB2312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71.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高校课程思政教学的难点与对策研究</w:t>
      </w:r>
    </w:p>
    <w:p w:rsidR="00A92B65" w:rsidRPr="00A92B65" w:rsidRDefault="00A92B65" w:rsidP="00A92B65">
      <w:pPr>
        <w:spacing w:line="600" w:lineRule="exact"/>
        <w:ind w:leftChars="148" w:left="831" w:hangingChars="147" w:hanging="495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72.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驻马店市高校和大中专院校思想政治理论课话语体系创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新方式方法研究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73.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统筹推进大中小学思政课一体化教学的路径探索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仿宋_GB2312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74.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高校大学生主流意识形态认同现状与对策研究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75.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农村宗教发展现状与巩固主流意识形态问题研究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76.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>以文化振兴助推乡村振兴的机制探索</w:t>
      </w:r>
      <w:r w:rsidRPr="00A92B65">
        <w:rPr>
          <w:rFonts w:ascii="仿宋_GB2312" w:eastAsia="仿宋_GB2312" w:hAnsi="Times New Roman" w:cs="仿宋_GB2312" w:hint="eastAsia"/>
          <w:sz w:val="32"/>
          <w:szCs w:val="32"/>
        </w:rPr>
        <w:tab/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77.传统节日文化在学科教学中的应用研究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78.</w:t>
      </w: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驻马店青少年学生心理健康教育策略研究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79.加强我市未成年人思想道德建设研究</w:t>
      </w:r>
    </w:p>
    <w:p w:rsidR="00A92B65" w:rsidRPr="00A92B65" w:rsidRDefault="00A92B65" w:rsidP="00A92B65">
      <w:pPr>
        <w:spacing w:line="600" w:lineRule="exact"/>
        <w:ind w:firstLineChars="100" w:firstLine="337"/>
        <w:contextualSpacing/>
        <w:rPr>
          <w:rFonts w:ascii="仿宋_GB2312" w:eastAsia="仿宋_GB2312" w:hAnsi="仿宋" w:cs="Times New Roman" w:hint="eastAsia"/>
          <w:sz w:val="32"/>
          <w:szCs w:val="32"/>
        </w:rPr>
      </w:pPr>
      <w:r w:rsidRPr="00A92B65">
        <w:rPr>
          <w:rFonts w:ascii="仿宋_GB2312" w:eastAsia="仿宋_GB2312" w:hAnsi="仿宋" w:cs="Times New Roman" w:hint="eastAsia"/>
          <w:sz w:val="32"/>
          <w:szCs w:val="32"/>
        </w:rPr>
        <w:t>80.新时代高校思想政治教育队伍建设研究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81.大学生文化自信培育的“媒介融合”机制研究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82.中小学生优秀传统文化认同的教育范式研究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83.加强青少年学生思想道德教育的研究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84.在学科教学中渗透传统文化教育的研究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85.信息技术在课堂教学中高效运用的研究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86.学前教育可持续发展的路径与对策研究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87.学科教学渗透社会主义核心价值观的实践与研究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88.加强思想政治引领，推动新时代学科教学的实践与研究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89.加强课程思政、网路思政对策研究</w:t>
      </w:r>
    </w:p>
    <w:p w:rsidR="00A92B65" w:rsidRPr="00A92B65" w:rsidRDefault="00A92B65" w:rsidP="00A92B65">
      <w:pPr>
        <w:spacing w:line="600" w:lineRule="exact"/>
        <w:ind w:firstLineChars="100" w:firstLine="337"/>
        <w:rPr>
          <w:rFonts w:ascii="仿宋_GB2312" w:eastAsia="仿宋_GB2312" w:hAnsi="Times New Roman" w:cs="Times New Roman" w:hint="eastAsia"/>
          <w:sz w:val="32"/>
          <w:szCs w:val="32"/>
        </w:rPr>
      </w:pPr>
      <w:r w:rsidRPr="00A92B65">
        <w:rPr>
          <w:rFonts w:ascii="仿宋_GB2312" w:eastAsia="仿宋_GB2312" w:hAnsi="Times New Roman" w:cs="Times New Roman" w:hint="eastAsia"/>
          <w:sz w:val="32"/>
          <w:szCs w:val="32"/>
        </w:rPr>
        <w:t>90.我市职业教育产教融合发展的现状与趋势研究</w:t>
      </w:r>
    </w:p>
    <w:p w:rsidR="00A92B65" w:rsidRPr="00A92B65" w:rsidRDefault="00A92B65" w:rsidP="00A92B65">
      <w:pPr>
        <w:adjustRightInd w:val="0"/>
        <w:snapToGrid w:val="0"/>
        <w:spacing w:line="600" w:lineRule="exact"/>
        <w:rPr>
          <w:rFonts w:ascii="宋体" w:eastAsia="宋体" w:hAnsi="Courier New" w:cs="Courier New"/>
          <w:sz w:val="32"/>
          <w:szCs w:val="32"/>
        </w:rPr>
      </w:pPr>
    </w:p>
    <w:sectPr w:rsidR="00A92B65" w:rsidRPr="00A92B65">
      <w:footerReference w:type="default" r:id="rId6"/>
      <w:footerReference w:type="first" r:id="rId7"/>
      <w:pgSz w:w="11907" w:h="16840"/>
      <w:pgMar w:top="2211" w:right="1361" w:bottom="1871" w:left="1474" w:header="851" w:footer="992" w:gutter="0"/>
      <w:pgNumType w:start="1"/>
      <w:cols w:space="720"/>
      <w:docGrid w:type="linesAndChars" w:linePitch="579" w:charSpace="34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09B" w:rsidRDefault="00D3409B" w:rsidP="00A92B65">
      <w:r>
        <w:separator/>
      </w:r>
    </w:p>
  </w:endnote>
  <w:endnote w:type="continuationSeparator" w:id="1">
    <w:p w:rsidR="00D3409B" w:rsidRDefault="00D3409B" w:rsidP="00A92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楷体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409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102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000000" w:rsidRDefault="00D3409B">
                <w:pPr>
                  <w:pStyle w:val="a4"/>
                  <w:rPr>
                    <w:rFonts w:eastAsia="宋体" w:hint="eastAsia"/>
                  </w:rPr>
                </w:pPr>
                <w:r>
                  <w:rPr>
                    <w:rFonts w:eastAsia="宋体" w:hint="eastAsia"/>
                  </w:rPr>
                  <w:fldChar w:fldCharType="begin"/>
                </w:r>
                <w:r>
                  <w:rPr>
                    <w:rFonts w:eastAsia="宋体" w:hint="eastAsia"/>
                  </w:rPr>
                  <w:instrText xml:space="preserve"> PAGE  \* MERGEFORMAT </w:instrText>
                </w:r>
                <w:r>
                  <w:rPr>
                    <w:rFonts w:eastAsia="宋体" w:hint="eastAsia"/>
                  </w:rPr>
                  <w:fldChar w:fldCharType="separate"/>
                </w:r>
                <w:r w:rsidR="00A92B65">
                  <w:rPr>
                    <w:rFonts w:eastAsia="宋体"/>
                    <w:noProof/>
                  </w:rPr>
                  <w:t>1</w:t>
                </w:r>
                <w:r>
                  <w:rPr>
                    <w:rFonts w:eastAsia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3409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1032" type="#_x0000_t202" style="position:absolute;margin-left:0;margin-top:0;width:2in;height:2in;z-index:251663360;mso-wrap-style:none;mso-position-horizontal:center;mso-position-horizontal-relative:margin" filled="f" stroked="f">
          <v:textbox style="mso-fit-shape-to-text:t" inset="0,0,0,0">
            <w:txbxContent>
              <w:p w:rsidR="00000000" w:rsidRDefault="00D3409B">
                <w:pPr>
                  <w:pStyle w:val="a4"/>
                  <w:rPr>
                    <w:rFonts w:eastAsia="宋体" w:hint="eastAsia"/>
                  </w:rPr>
                </w:pPr>
                <w:r>
                  <w:rPr>
                    <w:rFonts w:eastAsia="宋体" w:hint="eastAsia"/>
                  </w:rPr>
                  <w:fldChar w:fldCharType="begin"/>
                </w:r>
                <w:r>
                  <w:rPr>
                    <w:rFonts w:eastAsia="宋体" w:hint="eastAsia"/>
                  </w:rPr>
                  <w:instrText xml:space="preserve"> PAGE  \* MERGEFORMAT </w:instrText>
                </w:r>
                <w:r>
                  <w:rPr>
                    <w:rFonts w:eastAsia="宋体" w:hint="eastAsia"/>
                  </w:rPr>
                  <w:fldChar w:fldCharType="separate"/>
                </w:r>
                <w:r>
                  <w:rPr>
                    <w:rFonts w:eastAsia="宋体" w:hint="eastAsia"/>
                  </w:rPr>
                  <w:t>1</w:t>
                </w:r>
                <w:r>
                  <w:rPr>
                    <w:rFonts w:eastAsia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7" o:spid="_x0000_s1031" type="#_x0000_t202" style="position:absolute;margin-left:374.55pt;margin-top:-33.55pt;width:90.8pt;height:28.9pt;z-index:251662336" stroked="f">
          <v:textbox inset="1.5mm,0,,0">
            <w:txbxContent>
              <w:p w:rsidR="00000000" w:rsidRDefault="00D3409B">
                <w:pPr>
                  <w:rPr>
                    <w:rFonts w:ascii="方正楷体_GBK" w:eastAsia="方正楷体_GBK"/>
                    <w:sz w:val="28"/>
                    <w:szCs w:val="28"/>
                  </w:rPr>
                </w:pPr>
              </w:p>
            </w:txbxContent>
          </v:textbox>
        </v:shape>
      </w:pict>
    </w:r>
    <w:r>
      <w:pict>
        <v:line id="直线 8" o:spid="_x0000_s1030" style="position:absolute;z-index:251661312;mso-position-horizontal-relative:page;mso-position-vertical-relative:margin" from="73.7pt,634.95pt" to="527.25pt,634.95pt" strokeweight=".5pt">
          <w10:wrap anchorx="page" anchory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09B" w:rsidRDefault="00D3409B" w:rsidP="00A92B65">
      <w:r>
        <w:separator/>
      </w:r>
    </w:p>
  </w:footnote>
  <w:footnote w:type="continuationSeparator" w:id="1">
    <w:p w:rsidR="00D3409B" w:rsidRDefault="00D3409B" w:rsidP="00A92B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B65"/>
    <w:rsid w:val="00A92B65"/>
    <w:rsid w:val="00D34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2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2B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2B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2B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321</Words>
  <Characters>1834</Characters>
  <Application>Microsoft Office Word</Application>
  <DocSecurity>0</DocSecurity>
  <Lines>15</Lines>
  <Paragraphs>4</Paragraphs>
  <ScaleCrop>false</ScaleCrop>
  <Company>Lenovo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2020-09-04T03:46:00Z</dcterms:created>
  <dcterms:modified xsi:type="dcterms:W3CDTF">2020-09-04T03:46:00Z</dcterms:modified>
</cp:coreProperties>
</file>